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CA3C78" w14:textId="77777777" w:rsidR="00AA20FF" w:rsidRDefault="006A7E18">
      <w:pPr>
        <w:spacing w:before="240" w:after="240"/>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Lund Financial Management Announces Initiative to Help Clients Control, Mitigate, and Defer Taxes to Strengthen Long-Term Wealth</w:t>
      </w:r>
    </w:p>
    <w:p w14:paraId="5F7EA88D" w14:textId="77777777" w:rsidR="00AA20FF" w:rsidRDefault="006A7E18">
      <w:pPr>
        <w:spacing w:before="240" w:after="240"/>
      </w:pPr>
      <w:r>
        <w:rPr>
          <w:rFonts w:ascii="Times New Roman" w:eastAsia="Times New Roman" w:hAnsi="Times New Roman" w:cs="Times New Roman"/>
          <w:b/>
          <w:bCs/>
          <w:sz w:val="24"/>
          <w:szCs w:val="24"/>
        </w:rPr>
        <w:t>Temecula, CA - December XX, 2025 -</w:t>
      </w:r>
      <w:hyperlink r:id="rId5">
        <w:r>
          <w:rPr>
            <w:rStyle w:val="ListLabel10"/>
            <w:rFonts w:eastAsia="Arial"/>
          </w:rPr>
          <w:t xml:space="preserve"> </w:t>
        </w:r>
      </w:hyperlink>
      <w:hyperlink r:id="rId6">
        <w:r>
          <w:rPr>
            <w:rStyle w:val="ListLabel11"/>
            <w:rFonts w:eastAsia="Arial"/>
          </w:rPr>
          <w:t>Lund Financial Management</w:t>
        </w:r>
      </w:hyperlink>
      <w:r>
        <w:rPr>
          <w:rFonts w:ascii="Times New Roman" w:eastAsia="Times New Roman" w:hAnsi="Times New Roman" w:cs="Times New Roman"/>
          <w:sz w:val="24"/>
          <w:szCs w:val="24"/>
        </w:rPr>
        <w:t xml:space="preserve">, a leading financial planning and wealth management firm serving clients across Southern California, today announces a renewed focus on tax-efficient financial strategies designed to help individuals and families preserve, protect, and defend their wealth. The initiative underscores a central belief long championed by the firm: </w:t>
      </w:r>
      <w:r>
        <w:rPr>
          <w:rFonts w:ascii="Times New Roman" w:eastAsia="Times New Roman" w:hAnsi="Times New Roman" w:cs="Times New Roman"/>
          <w:i/>
          <w:iCs/>
          <w:sz w:val="24"/>
          <w:szCs w:val="24"/>
        </w:rPr>
        <w:t>“Money, when not taxed away, helps build your net worth and income.”</w:t>
      </w:r>
    </w:p>
    <w:p w14:paraId="191504DD" w14:textId="77777777" w:rsidR="00AA20FF" w:rsidRDefault="006A7E18">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With taxes remaining one of the most significant obstacles to long-term wealth accumulation, Lund Financial Management is expanding its educational outreach and strategic guidance to help clients better understand how to control, mitigate, and defer tax exposure throughout every stage of their financial journey.</w:t>
      </w:r>
    </w:p>
    <w:p w14:paraId="56684B61" w14:textId="77777777" w:rsidR="00AA20FF" w:rsidRDefault="006A7E18">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“Many investors don’t realize the impact that taxes can have on their long-term financial outlook,” said Jason Lund, Wealth Management Consultant at Lund Financial Management. “We help remove the tax infestation from your assets and income. By taking a proactive approach, clients can strengthen their wealth, improve retirement confidence, and gain clarity about their financial </w:t>
      </w:r>
      <w:proofErr w:type="gramStart"/>
      <w:r>
        <w:rPr>
          <w:rFonts w:ascii="Times New Roman" w:eastAsia="Times New Roman" w:hAnsi="Times New Roman" w:cs="Times New Roman"/>
          <w:sz w:val="24"/>
          <w:szCs w:val="24"/>
        </w:rPr>
        <w:t>future.”</w:t>
      </w:r>
      <w:proofErr w:type="gramEnd"/>
    </w:p>
    <w:p w14:paraId="7A20B1CF" w14:textId="77777777" w:rsidR="00AA20FF" w:rsidRDefault="006A7E18">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Across the United States, rising tax burdens continue to challenge households preparing for retirement, navigating career transitions, or building multigenerational wealth. Lund Financial Management’s proven process—Discovery, Strategy, and Implementation—ensures clients receive a personalized analysis of their current financial profile and a detailed roadmap for improvement.</w:t>
      </w:r>
    </w:p>
    <w:p w14:paraId="53524FC7" w14:textId="77777777" w:rsidR="00AA20FF" w:rsidRDefault="006A7E18">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This tax-focused initiative builds on Lund Financial Management’s long-established pillars of service: Preserve, Protect, and Defend.</w:t>
      </w:r>
    </w:p>
    <w:p w14:paraId="17CB6F9E" w14:textId="77777777" w:rsidR="00AA20FF" w:rsidRDefault="006A7E18">
      <w:pPr>
        <w:numPr>
          <w:ilvl w:val="0"/>
          <w:numId w:val="1"/>
        </w:numPr>
        <w:spacing w:before="240"/>
        <w:rPr>
          <w:sz w:val="24"/>
          <w:szCs w:val="24"/>
        </w:rPr>
      </w:pPr>
      <w:r>
        <w:rPr>
          <w:rFonts w:ascii="Times New Roman" w:eastAsia="Times New Roman" w:hAnsi="Times New Roman" w:cs="Times New Roman"/>
          <w:sz w:val="24"/>
          <w:szCs w:val="24"/>
        </w:rPr>
        <w:t>Preserve: Helping clients safeguard retirement assets so savings last throughout their lifetime.</w:t>
      </w:r>
      <w:r>
        <w:rPr>
          <w:rFonts w:ascii="Times New Roman" w:eastAsia="Times New Roman" w:hAnsi="Times New Roman" w:cs="Times New Roman"/>
          <w:sz w:val="24"/>
          <w:szCs w:val="24"/>
        </w:rPr>
        <w:br/>
      </w:r>
    </w:p>
    <w:p w14:paraId="7285D092" w14:textId="77777777" w:rsidR="00AA20FF" w:rsidRDefault="006A7E18">
      <w:pPr>
        <w:numPr>
          <w:ilvl w:val="0"/>
          <w:numId w:val="1"/>
        </w:numPr>
        <w:rPr>
          <w:sz w:val="24"/>
          <w:szCs w:val="24"/>
        </w:rPr>
      </w:pPr>
      <w:r>
        <w:rPr>
          <w:rFonts w:ascii="Times New Roman" w:eastAsia="Times New Roman" w:hAnsi="Times New Roman" w:cs="Times New Roman"/>
          <w:sz w:val="24"/>
          <w:szCs w:val="24"/>
        </w:rPr>
        <w:t>Protect: Structuring strategies that shield wealth from market volatility and unnecessary risk.</w:t>
      </w:r>
      <w:r>
        <w:rPr>
          <w:rFonts w:ascii="Times New Roman" w:eastAsia="Times New Roman" w:hAnsi="Times New Roman" w:cs="Times New Roman"/>
          <w:sz w:val="24"/>
          <w:szCs w:val="24"/>
        </w:rPr>
        <w:br/>
      </w:r>
    </w:p>
    <w:p w14:paraId="129F5885" w14:textId="77777777" w:rsidR="00AA20FF" w:rsidRDefault="006A7E18">
      <w:pPr>
        <w:numPr>
          <w:ilvl w:val="0"/>
          <w:numId w:val="1"/>
        </w:numPr>
        <w:spacing w:after="240"/>
        <w:rPr>
          <w:sz w:val="24"/>
          <w:szCs w:val="24"/>
        </w:rPr>
      </w:pPr>
      <w:r>
        <w:rPr>
          <w:rFonts w:ascii="Times New Roman" w:eastAsia="Times New Roman" w:hAnsi="Times New Roman" w:cs="Times New Roman"/>
          <w:sz w:val="24"/>
          <w:szCs w:val="24"/>
        </w:rPr>
        <w:t>Defend: Addressing life events, long-term care needs, and tax pressures that can undermine even the most carefully designed plans.</w:t>
      </w:r>
      <w:r>
        <w:rPr>
          <w:rFonts w:ascii="Times New Roman" w:eastAsia="Times New Roman" w:hAnsi="Times New Roman" w:cs="Times New Roman"/>
          <w:sz w:val="24"/>
          <w:szCs w:val="24"/>
        </w:rPr>
        <w:br/>
      </w:r>
    </w:p>
    <w:p w14:paraId="061393F4" w14:textId="77777777" w:rsidR="00AA20FF" w:rsidRDefault="006A7E18">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Lund Financial Management continues to provide comprehensive support across financial planning, retirement planning, insurance services, estate strategies, and tax-efficient wealth management. With deep experience in IRAs, 401(k)s, annuities, business-owner planning, and legacy strategies, the firm works to simplify complex decisions for pre-retirees, professionals, individuals in transition, independent women, multigenerational families, and the next generation of investors.</w:t>
      </w:r>
    </w:p>
    <w:p w14:paraId="381F9C82" w14:textId="77777777" w:rsidR="00AA20FF" w:rsidRDefault="006A7E18">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“Our mission is to empower our clients with clarity and confidence,” Lund added. “From understanding tax optimization to turning assets into income, we want every client to feel prepared for what lies ahead. The better you understand your tax landscape, the more effectively you can shape your financial future.”</w:t>
      </w:r>
    </w:p>
    <w:p w14:paraId="2FC3E8CA" w14:textId="77777777" w:rsidR="00AA20FF" w:rsidRDefault="006A7E18">
      <w:pPr>
        <w:spacing w:before="240" w:after="240"/>
      </w:pPr>
      <w:r>
        <w:rPr>
          <w:rFonts w:ascii="Times New Roman" w:eastAsia="Times New Roman" w:hAnsi="Times New Roman" w:cs="Times New Roman"/>
          <w:sz w:val="24"/>
          <w:szCs w:val="24"/>
        </w:rPr>
        <w:t xml:space="preserve">Individuals interested in exploring tax-efficient strategies or assessing their current financial plan are encouraged to connect with Lund Financial Management via phone or its </w:t>
      </w:r>
      <w:hyperlink r:id="rId7">
        <w:r>
          <w:rPr>
            <w:rStyle w:val="ListLabel11"/>
            <w:rFonts w:eastAsia="Arial"/>
          </w:rPr>
          <w:t>website</w:t>
        </w:r>
      </w:hyperlink>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en-US"/>
        </w:rPr>
        <w:t xml:space="preserve"> </w:t>
      </w:r>
    </w:p>
    <w:p w14:paraId="09C664C1" w14:textId="77777777" w:rsidR="00AA20FF" w:rsidRDefault="006A7E18">
      <w:pPr>
        <w:spacing w:before="240" w:after="240"/>
        <w:rPr>
          <w:rFonts w:ascii="Times New Roman" w:eastAsia="Times New Roman" w:hAnsi="Times New Roman" w:cs="Times New Roman"/>
          <w:i/>
          <w:iCs/>
          <w:color w:val="000000"/>
          <w:sz w:val="24"/>
          <w:szCs w:val="24"/>
          <w:highlight w:val="white"/>
          <w:lang w:val="en-US"/>
        </w:rPr>
      </w:pPr>
      <w:r>
        <w:rPr>
          <w:rFonts w:ascii="Times New Roman" w:eastAsia="SimSun" w:hAnsi="Times New Roman" w:cs="Times New Roman"/>
          <w:i/>
          <w:iCs/>
          <w:color w:val="000000"/>
          <w:sz w:val="24"/>
          <w:szCs w:val="24"/>
          <w:shd w:val="clear" w:color="auto" w:fill="FFFFFF"/>
        </w:rPr>
        <w:t>Advisory Services Offered Through Client One Securities, LLC an Investment Advisor. Lund Financial and Client One Securities, LLC are not affiliated.</w:t>
      </w:r>
    </w:p>
    <w:p w14:paraId="1B13EBA6" w14:textId="77777777" w:rsidR="00AA20FF" w:rsidRDefault="006A7E18">
      <w:pPr>
        <w:spacing w:before="240" w:after="24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About Lund Financial Management</w:t>
      </w:r>
    </w:p>
    <w:p w14:paraId="6644073C" w14:textId="77777777" w:rsidR="00AA20FF" w:rsidRDefault="006A7E18">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Lund Financial Management is a comprehensive wealth advisory firm based in Temecula, California, dedicated to helping individuals and families preserve, protect, and grow their financial futures. Through a structured process of discovery, strategic planning, and implementation, the firm provides personalized guidance across retirement planning, tax-efficient strategies, insurance solutions, estate planning, and long-term income planning. With decades of experience and a </w:t>
      </w:r>
      <w:proofErr w:type="gramStart"/>
      <w:r>
        <w:rPr>
          <w:rFonts w:ascii="Times New Roman" w:eastAsia="Times New Roman" w:hAnsi="Times New Roman" w:cs="Times New Roman"/>
          <w:sz w:val="24"/>
          <w:szCs w:val="24"/>
        </w:rPr>
        <w:t>values</w:t>
      </w:r>
      <w:proofErr w:type="gramEnd"/>
      <w:r>
        <w:rPr>
          <w:rFonts w:ascii="Times New Roman" w:eastAsia="Times New Roman" w:hAnsi="Times New Roman" w:cs="Times New Roman"/>
          <w:sz w:val="24"/>
          <w:szCs w:val="24"/>
        </w:rPr>
        <w:t xml:space="preserve">-driven approach, Lund Financial Management empowers clients to make informed decisions, navigate life’s transitions, and build multigenerational financial confidence. </w:t>
      </w:r>
    </w:p>
    <w:p w14:paraId="6A66C0DC" w14:textId="15DFC022" w:rsidR="00AA20FF" w:rsidRPr="00DD6457" w:rsidRDefault="006A7E18">
      <w:r>
        <w:rPr>
          <w:rFonts w:ascii="Times New Roman" w:eastAsia="Times New Roman" w:hAnsi="Times New Roman" w:cs="Times New Roman"/>
          <w:b/>
          <w:bCs/>
          <w:sz w:val="24"/>
          <w:szCs w:val="24"/>
        </w:rPr>
        <w:t>Media Contact</w:t>
      </w:r>
    </w:p>
    <w:p w14:paraId="0301A7CB" w14:textId="77777777" w:rsidR="00AA20FF" w:rsidRDefault="006A7E18">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Company Name: </w:t>
      </w:r>
      <w:r>
        <w:rPr>
          <w:rFonts w:ascii="Times New Roman" w:eastAsia="Times New Roman" w:hAnsi="Times New Roman" w:cs="Times New Roman"/>
          <w:color w:val="222222"/>
          <w:sz w:val="24"/>
          <w:szCs w:val="24"/>
          <w:highlight w:val="white"/>
        </w:rPr>
        <w:t>Lund Financial Management</w:t>
      </w:r>
    </w:p>
    <w:p w14:paraId="718ED17D" w14:textId="77777777" w:rsidR="00AA20FF" w:rsidRDefault="006A7E18">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Contact Person: </w:t>
      </w:r>
      <w:r>
        <w:rPr>
          <w:rFonts w:ascii="Times New Roman" w:eastAsia="Times New Roman" w:hAnsi="Times New Roman" w:cs="Times New Roman"/>
          <w:color w:val="222222"/>
          <w:sz w:val="24"/>
          <w:szCs w:val="24"/>
          <w:highlight w:val="white"/>
        </w:rPr>
        <w:t>Jason Lund</w:t>
      </w:r>
    </w:p>
    <w:p w14:paraId="0F0791D7" w14:textId="77777777" w:rsidR="00AA20FF" w:rsidRDefault="006A7E18">
      <w:pPr>
        <w:rPr>
          <w:rFonts w:ascii="Times New Roman" w:eastAsia="Times New Roman" w:hAnsi="Times New Roman" w:cs="Times New Roman"/>
          <w:color w:val="1155CC"/>
          <w:sz w:val="24"/>
          <w:szCs w:val="24"/>
          <w:highlight w:val="white"/>
        </w:rPr>
      </w:pPr>
      <w:r>
        <w:rPr>
          <w:rFonts w:ascii="Times New Roman" w:eastAsia="Times New Roman" w:hAnsi="Times New Roman" w:cs="Times New Roman"/>
          <w:sz w:val="24"/>
          <w:szCs w:val="24"/>
        </w:rPr>
        <w:t xml:space="preserve">Email: </w:t>
      </w:r>
      <w:r>
        <w:rPr>
          <w:rFonts w:ascii="Times New Roman" w:eastAsia="Times New Roman" w:hAnsi="Times New Roman" w:cs="Times New Roman"/>
          <w:color w:val="1155CC"/>
          <w:sz w:val="24"/>
          <w:szCs w:val="24"/>
          <w:highlight w:val="white"/>
        </w:rPr>
        <w:t>jlund@c1s.net</w:t>
      </w:r>
    </w:p>
    <w:p w14:paraId="30729F07" w14:textId="77777777" w:rsidR="00AA20FF" w:rsidRDefault="006A7E18">
      <w:pPr>
        <w:rPr>
          <w:rFonts w:ascii="Times New Roman" w:eastAsia="Times New Roman" w:hAnsi="Times New Roman" w:cs="Times New Roman"/>
          <w:b/>
          <w:bCs/>
          <w:color w:val="222222"/>
          <w:sz w:val="24"/>
          <w:szCs w:val="24"/>
          <w:highlight w:val="white"/>
        </w:rPr>
      </w:pPr>
      <w:r>
        <w:rPr>
          <w:rFonts w:ascii="Times New Roman" w:eastAsia="Times New Roman" w:hAnsi="Times New Roman" w:cs="Times New Roman"/>
          <w:sz w:val="24"/>
          <w:szCs w:val="24"/>
          <w:highlight w:val="white"/>
        </w:rPr>
        <w:t xml:space="preserve">Phone: </w:t>
      </w:r>
      <w:r>
        <w:rPr>
          <w:rFonts w:ascii="Times New Roman" w:eastAsia="Times New Roman" w:hAnsi="Times New Roman" w:cs="Times New Roman"/>
          <w:color w:val="222222"/>
          <w:sz w:val="24"/>
          <w:szCs w:val="24"/>
          <w:highlight w:val="white"/>
        </w:rPr>
        <w:t>619-200-7141</w:t>
      </w:r>
    </w:p>
    <w:p w14:paraId="384B92AE" w14:textId="77777777" w:rsidR="00AA20FF" w:rsidRDefault="006A7E18">
      <w:pPr>
        <w:rPr>
          <w:rFonts w:ascii="Times New Roman" w:hAnsi="Times New Roman"/>
          <w:sz w:val="24"/>
          <w:szCs w:val="24"/>
        </w:rPr>
      </w:pPr>
      <w:proofErr w:type="gramStart"/>
      <w:r>
        <w:rPr>
          <w:rFonts w:ascii="Times New Roman" w:eastAsia="Times New Roman" w:hAnsi="Times New Roman" w:cs="Times New Roman"/>
          <w:sz w:val="24"/>
          <w:szCs w:val="24"/>
        </w:rPr>
        <w:t>Address :</w:t>
      </w:r>
      <w:proofErr w:type="gramEnd"/>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43460 Ridge Park </w:t>
      </w:r>
      <w:proofErr w:type="gramStart"/>
      <w:r>
        <w:rPr>
          <w:rFonts w:ascii="Times New Roman" w:eastAsia="Times New Roman" w:hAnsi="Times New Roman" w:cs="Times New Roman"/>
          <w:color w:val="000000"/>
          <w:sz w:val="24"/>
          <w:szCs w:val="24"/>
        </w:rPr>
        <w:t>Drive ,</w:t>
      </w:r>
      <w:r>
        <w:rPr>
          <w:rFonts w:ascii="Times New Roman" w:hAnsi="Times New Roman"/>
          <w:color w:val="000000"/>
          <w:sz w:val="24"/>
          <w:szCs w:val="24"/>
        </w:rPr>
        <w:t>Suite</w:t>
      </w:r>
      <w:proofErr w:type="gramEnd"/>
      <w:r>
        <w:rPr>
          <w:rFonts w:ascii="Times New Roman" w:hAnsi="Times New Roman"/>
          <w:color w:val="000000"/>
          <w:sz w:val="24"/>
          <w:szCs w:val="24"/>
        </w:rPr>
        <w:t xml:space="preserve"> 200-K</w:t>
      </w:r>
    </w:p>
    <w:p w14:paraId="4646ED76" w14:textId="77777777" w:rsidR="00AA20FF" w:rsidRPr="00A80A51" w:rsidRDefault="006A7E18">
      <w:pPr>
        <w:pStyle w:val="BodyText"/>
        <w:spacing w:after="0"/>
        <w:rPr>
          <w:rFonts w:ascii="Times New Roman" w:hAnsi="Times New Roman"/>
          <w:sz w:val="24"/>
          <w:szCs w:val="24"/>
          <w:lang w:val="pt-BR"/>
        </w:rPr>
      </w:pPr>
      <w:proofErr w:type="spellStart"/>
      <w:r w:rsidRPr="00A80A51">
        <w:rPr>
          <w:rFonts w:ascii="Times New Roman" w:hAnsi="Times New Roman"/>
          <w:color w:val="000000"/>
          <w:sz w:val="24"/>
          <w:szCs w:val="24"/>
          <w:lang w:val="pt-BR"/>
        </w:rPr>
        <w:t>Temecula</w:t>
      </w:r>
      <w:proofErr w:type="spellEnd"/>
      <w:r w:rsidRPr="00A80A51">
        <w:rPr>
          <w:rFonts w:ascii="Times New Roman" w:hAnsi="Times New Roman"/>
          <w:color w:val="000000"/>
          <w:sz w:val="24"/>
          <w:szCs w:val="24"/>
          <w:lang w:val="pt-BR"/>
        </w:rPr>
        <w:t xml:space="preserve"> </w:t>
      </w:r>
      <w:proofErr w:type="spellStart"/>
      <w:r w:rsidRPr="00A80A51">
        <w:rPr>
          <w:rFonts w:ascii="Times New Roman" w:hAnsi="Times New Roman"/>
          <w:color w:val="000000"/>
          <w:sz w:val="24"/>
          <w:szCs w:val="24"/>
          <w:lang w:val="pt-BR"/>
        </w:rPr>
        <w:t>ca</w:t>
      </w:r>
      <w:proofErr w:type="spellEnd"/>
      <w:r w:rsidRPr="00A80A51">
        <w:rPr>
          <w:rFonts w:ascii="Times New Roman" w:hAnsi="Times New Roman"/>
          <w:color w:val="000000"/>
          <w:sz w:val="24"/>
          <w:szCs w:val="24"/>
          <w:lang w:val="pt-BR"/>
        </w:rPr>
        <w:t xml:space="preserve"> 92590</w:t>
      </w:r>
    </w:p>
    <w:p w14:paraId="2A108FF3" w14:textId="77777777" w:rsidR="00AA20FF" w:rsidRPr="00DD6457" w:rsidRDefault="006A7E18">
      <w:pPr>
        <w:rPr>
          <w:lang w:val="pt-BR"/>
        </w:rPr>
      </w:pPr>
      <w:r w:rsidRPr="00A80A51">
        <w:rPr>
          <w:rFonts w:ascii="Times New Roman" w:eastAsia="Times New Roman" w:hAnsi="Times New Roman" w:cs="Times New Roman"/>
          <w:sz w:val="24"/>
          <w:szCs w:val="24"/>
          <w:lang w:val="pt-BR"/>
        </w:rPr>
        <w:t xml:space="preserve">Website: </w:t>
      </w:r>
      <w:hyperlink r:id="rId8">
        <w:r w:rsidRPr="00A80A51">
          <w:rPr>
            <w:rStyle w:val="InternetLink"/>
            <w:rFonts w:ascii="Times New Roman" w:eastAsia="Times New Roman" w:hAnsi="Times New Roman" w:cs="Times New Roman"/>
            <w:sz w:val="24"/>
            <w:szCs w:val="24"/>
            <w:lang w:val="pt-BR"/>
          </w:rPr>
          <w:t>https://lundfinancialmanagement.com</w:t>
        </w:r>
      </w:hyperlink>
    </w:p>
    <w:p w14:paraId="586F2D13" w14:textId="77777777" w:rsidR="00AA20FF" w:rsidRPr="00A80A51" w:rsidRDefault="00AA20FF">
      <w:pPr>
        <w:rPr>
          <w:rFonts w:ascii="Times New Roman" w:eastAsia="Times New Roman" w:hAnsi="Times New Roman" w:cs="Times New Roman"/>
          <w:sz w:val="24"/>
          <w:szCs w:val="24"/>
          <w:lang w:val="en-US"/>
        </w:rPr>
      </w:pPr>
    </w:p>
    <w:p w14:paraId="3C211CE7" w14:textId="77777777" w:rsidR="00AA20FF" w:rsidRDefault="006A7E18">
      <w:r>
        <w:rPr>
          <w:rFonts w:ascii="Times New Roman" w:eastAsia="Times New Roman" w:hAnsi="Times New Roman" w:cs="Times New Roman"/>
          <w:i/>
          <w:iCs/>
          <w:sz w:val="20"/>
          <w:szCs w:val="20"/>
          <w:lang w:val="en-US"/>
        </w:rPr>
        <w:t xml:space="preserve">Disclaimer: </w:t>
      </w:r>
      <w:r>
        <w:rPr>
          <w:rFonts w:ascii="Times New Roman" w:eastAsia="sans-serif" w:hAnsi="Times New Roman" w:cs="Times New Roman"/>
          <w:i/>
          <w:iCs/>
          <w:color w:val="1D1C1D"/>
          <w:sz w:val="20"/>
          <w:szCs w:val="20"/>
        </w:rPr>
        <w:t xml:space="preserve">This press release may contain forward-looking statements. Forward-looking statements describe future expectations, plans, results, or strategies (including product offerings, regulatory plans and business plans) and may change without notice. You are cautioned that such statements are subject to a multitude of risks and uncertainties that could cause future circumstances, events, or results to differ materially from those projected in the </w:t>
      </w:r>
      <w:r>
        <w:rPr>
          <w:rFonts w:ascii="Times New Roman" w:eastAsia="sans-serif" w:hAnsi="Times New Roman" w:cs="Times New Roman"/>
          <w:i/>
          <w:iCs/>
          <w:color w:val="1D1C1D"/>
          <w:sz w:val="20"/>
          <w:szCs w:val="20"/>
        </w:rPr>
        <w:lastRenderedPageBreak/>
        <w:t>forward-looking statements, including the risks that actual results may differ materially from those projected in the forward-looking statements.</w:t>
      </w:r>
    </w:p>
    <w:sectPr w:rsidR="00AA20FF">
      <w:pgSz w:w="12240" w:h="15840"/>
      <w:pgMar w:top="1440" w:right="1440" w:bottom="1440" w:left="1440" w:header="0" w:footer="0" w:gutter="0"/>
      <w:pgNumType w:start="1"/>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embedRegular r:id="rId1" w:fontKey="{A3A70A4E-97D2-4590-A00B-268000080C61}"/>
  </w:font>
  <w:font w:name="OpenSymbol">
    <w:altName w:val="Arial Unicode MS"/>
    <w:charset w:val="01"/>
    <w:family w:val="auto"/>
    <w:pitch w:val="default"/>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200247B" w:usb2="00000009" w:usb3="00000000" w:csb0="000001FF" w:csb1="00000000"/>
    <w:embedRegular r:id="rId2" w:fontKey="{C1C622F8-680B-4F38-9882-89DD7CB47834}"/>
  </w:font>
  <w:font w:name="Cambria">
    <w:panose1 w:val="02040503050406030204"/>
    <w:charset w:val="00"/>
    <w:family w:val="roman"/>
    <w:pitch w:val="variable"/>
    <w:sig w:usb0="E00006FF" w:usb1="420024FF" w:usb2="02000000" w:usb3="00000000" w:csb0="0000019F" w:csb1="00000000"/>
    <w:embedRegular r:id="rId3" w:fontKey="{5322CBFE-1766-4747-8102-9EBD4FAE535C}"/>
  </w:font>
  <w:font w:name="sans-serif">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A63F5B"/>
    <w:multiLevelType w:val="multilevel"/>
    <w:tmpl w:val="9E5CD36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5A122231"/>
    <w:multiLevelType w:val="multilevel"/>
    <w:tmpl w:val="295E6D18"/>
    <w:lvl w:ilvl="0">
      <w:start w:val="1"/>
      <w:numFmt w:val="bullet"/>
      <w:lvlText w:val=""/>
      <w:lvlJc w:val="left"/>
      <w:pPr>
        <w:ind w:left="720" w:hanging="360"/>
      </w:pPr>
      <w:rPr>
        <w:rFonts w:ascii="Wingdings" w:hAnsi="Wingdings" w:cs="Wingdings" w:hint="default"/>
        <w:sz w:val="24"/>
        <w:u w:val="none"/>
      </w:rPr>
    </w:lvl>
    <w:lvl w:ilvl="1">
      <w:start w:val="1"/>
      <w:numFmt w:val="bullet"/>
      <w:lvlText w:val=""/>
      <w:lvlJc w:val="left"/>
      <w:pPr>
        <w:ind w:left="1440" w:hanging="360"/>
      </w:pPr>
      <w:rPr>
        <w:rFonts w:ascii="Wingdings 2" w:hAnsi="Wingdings 2" w:cs="Wingdings 2" w:hint="default"/>
        <w:u w:val="none"/>
      </w:rPr>
    </w:lvl>
    <w:lvl w:ilvl="2">
      <w:start w:val="1"/>
      <w:numFmt w:val="bullet"/>
      <w:lvlText w:val="■"/>
      <w:lvlJc w:val="left"/>
      <w:pPr>
        <w:ind w:left="2160" w:hanging="360"/>
      </w:pPr>
      <w:rPr>
        <w:rFonts w:ascii="OpenSymbol" w:hAnsi="OpenSymbol" w:cs="OpenSymbol" w:hint="default"/>
        <w:u w:val="none"/>
      </w:rPr>
    </w:lvl>
    <w:lvl w:ilvl="3">
      <w:start w:val="1"/>
      <w:numFmt w:val="bullet"/>
      <w:lvlText w:val=""/>
      <w:lvlJc w:val="left"/>
      <w:pPr>
        <w:ind w:left="2880" w:hanging="360"/>
      </w:pPr>
      <w:rPr>
        <w:rFonts w:ascii="Wingdings" w:hAnsi="Wingdings" w:cs="Wingdings" w:hint="default"/>
        <w:u w:val="none"/>
      </w:rPr>
    </w:lvl>
    <w:lvl w:ilvl="4">
      <w:start w:val="1"/>
      <w:numFmt w:val="bullet"/>
      <w:lvlText w:val=""/>
      <w:lvlJc w:val="left"/>
      <w:pPr>
        <w:ind w:left="3600" w:hanging="360"/>
      </w:pPr>
      <w:rPr>
        <w:rFonts w:ascii="Wingdings 2" w:hAnsi="Wingdings 2" w:cs="Wingdings 2" w:hint="default"/>
        <w:u w:val="none"/>
      </w:rPr>
    </w:lvl>
    <w:lvl w:ilvl="5">
      <w:start w:val="1"/>
      <w:numFmt w:val="bullet"/>
      <w:lvlText w:val="■"/>
      <w:lvlJc w:val="left"/>
      <w:pPr>
        <w:ind w:left="4320" w:hanging="360"/>
      </w:pPr>
      <w:rPr>
        <w:rFonts w:ascii="OpenSymbol" w:hAnsi="OpenSymbol" w:cs="OpenSymbol" w:hint="default"/>
        <w:u w:val="none"/>
      </w:rPr>
    </w:lvl>
    <w:lvl w:ilvl="6">
      <w:start w:val="1"/>
      <w:numFmt w:val="bullet"/>
      <w:lvlText w:val=""/>
      <w:lvlJc w:val="left"/>
      <w:pPr>
        <w:ind w:left="5040" w:hanging="360"/>
      </w:pPr>
      <w:rPr>
        <w:rFonts w:ascii="Wingdings" w:hAnsi="Wingdings" w:cs="Wingdings" w:hint="default"/>
        <w:u w:val="none"/>
      </w:rPr>
    </w:lvl>
    <w:lvl w:ilvl="7">
      <w:start w:val="1"/>
      <w:numFmt w:val="bullet"/>
      <w:lvlText w:val=""/>
      <w:lvlJc w:val="left"/>
      <w:pPr>
        <w:ind w:left="5760" w:hanging="360"/>
      </w:pPr>
      <w:rPr>
        <w:rFonts w:ascii="Wingdings 2" w:hAnsi="Wingdings 2" w:cs="Wingdings 2" w:hint="default"/>
        <w:u w:val="none"/>
      </w:rPr>
    </w:lvl>
    <w:lvl w:ilvl="8">
      <w:start w:val="1"/>
      <w:numFmt w:val="bullet"/>
      <w:lvlText w:val="■"/>
      <w:lvlJc w:val="left"/>
      <w:pPr>
        <w:ind w:left="6480" w:hanging="360"/>
      </w:pPr>
      <w:rPr>
        <w:rFonts w:ascii="OpenSymbol" w:hAnsi="OpenSymbol" w:cs="OpenSymbol" w:hint="default"/>
        <w:u w:val="none"/>
      </w:rPr>
    </w:lvl>
  </w:abstractNum>
  <w:num w:numId="1" w16cid:durableId="1390180350">
    <w:abstractNumId w:val="1"/>
  </w:num>
  <w:num w:numId="2" w16cid:durableId="20964367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20FF"/>
    <w:rsid w:val="006A7E18"/>
    <w:rsid w:val="0082068F"/>
    <w:rsid w:val="00A80A51"/>
    <w:rsid w:val="00AA20FF"/>
    <w:rsid w:val="00AE08D8"/>
    <w:rsid w:val="00DD6457"/>
  </w:rsids>
  <m:mathPr>
    <m:mathFont m:val="Cambria Math"/>
    <m:brkBin m:val="before"/>
    <m:brkBinSub m:val="--"/>
    <m:smallFrac m:val="0"/>
    <m:dispDef/>
    <m:lMargin m:val="0"/>
    <m:rMargin m:val="0"/>
    <m:defJc m:val="centerGroup"/>
    <m:wrapIndent m:val="1440"/>
    <m:intLim m:val="subSup"/>
    <m:naryLim m:val="undOvr"/>
  </m:mathPr>
  <w:themeFontLang w:val="en-PH" w:eastAsia="zh-CN"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8FE51"/>
  <w15:docId w15:val="{6C83AF32-E911-45DE-8280-EF5942C96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rPr>
      <w:rFonts w:ascii="Arial" w:eastAsia="Arial" w:hAnsi="Arial" w:cs="Arial"/>
      <w:sz w:val="22"/>
      <w:szCs w:val="22"/>
      <w:lang w:val="en" w:eastAsia="en-PH" w:bidi="ar-SA"/>
    </w:r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uiPriority w:val="99"/>
    <w:semiHidden/>
    <w:unhideWhenUsed/>
    <w:qFormat/>
    <w:rPr>
      <w:color w:val="0000FF"/>
      <w:u w:val="single"/>
    </w:rPr>
  </w:style>
  <w:style w:type="character" w:customStyle="1" w:styleId="ListLabel1">
    <w:name w:val="ListLabel 1"/>
    <w:qFormat/>
    <w:rPr>
      <w:sz w:val="24"/>
      <w:u w:val="none"/>
    </w:rPr>
  </w:style>
  <w:style w:type="character" w:customStyle="1" w:styleId="ListLabel2">
    <w:name w:val="ListLabel 2"/>
    <w:qFormat/>
    <w:rPr>
      <w:u w:val="none"/>
    </w:rPr>
  </w:style>
  <w:style w:type="character" w:customStyle="1" w:styleId="ListLabel3">
    <w:name w:val="ListLabel 3"/>
    <w:qFormat/>
    <w:rPr>
      <w:u w:val="none"/>
    </w:rPr>
  </w:style>
  <w:style w:type="character" w:customStyle="1" w:styleId="ListLabel4">
    <w:name w:val="ListLabel 4"/>
    <w:qFormat/>
    <w:rPr>
      <w:u w:val="none"/>
    </w:rPr>
  </w:style>
  <w:style w:type="character" w:customStyle="1" w:styleId="ListLabel5">
    <w:name w:val="ListLabel 5"/>
    <w:qFormat/>
    <w:rPr>
      <w:u w:val="none"/>
    </w:rPr>
  </w:style>
  <w:style w:type="character" w:customStyle="1" w:styleId="ListLabel6">
    <w:name w:val="ListLabel 6"/>
    <w:qFormat/>
    <w:rPr>
      <w:u w:val="none"/>
    </w:rPr>
  </w:style>
  <w:style w:type="character" w:customStyle="1" w:styleId="ListLabel7">
    <w:name w:val="ListLabel 7"/>
    <w:qFormat/>
    <w:rPr>
      <w:u w:val="none"/>
    </w:rPr>
  </w:style>
  <w:style w:type="character" w:customStyle="1" w:styleId="ListLabel8">
    <w:name w:val="ListLabel 8"/>
    <w:qFormat/>
    <w:rPr>
      <w:u w:val="none"/>
    </w:rPr>
  </w:style>
  <w:style w:type="character" w:customStyle="1" w:styleId="ListLabel9">
    <w:name w:val="ListLabel 9"/>
    <w:qFormat/>
    <w:rPr>
      <w:u w:val="none"/>
    </w:rPr>
  </w:style>
  <w:style w:type="character" w:customStyle="1" w:styleId="ListLabel10">
    <w:name w:val="ListLabel 10"/>
    <w:qFormat/>
    <w:rPr>
      <w:rFonts w:ascii="Times New Roman" w:eastAsia="Times New Roman" w:hAnsi="Times New Roman" w:cs="Times New Roman"/>
      <w:b/>
      <w:bCs/>
      <w:color w:val="1155CC"/>
      <w:sz w:val="24"/>
      <w:szCs w:val="24"/>
    </w:rPr>
  </w:style>
  <w:style w:type="character" w:customStyle="1" w:styleId="ListLabel11">
    <w:name w:val="ListLabel 11"/>
    <w:qFormat/>
    <w:rPr>
      <w:rFonts w:ascii="Times New Roman" w:eastAsia="Times New Roman" w:hAnsi="Times New Roman" w:cs="Times New Roman"/>
      <w:color w:val="1155CC"/>
      <w:sz w:val="24"/>
      <w:szCs w:val="24"/>
      <w:u w:val="single"/>
    </w:rPr>
  </w:style>
  <w:style w:type="character" w:customStyle="1" w:styleId="ListLabel12">
    <w:name w:val="ListLabel 12"/>
    <w:qFormat/>
    <w:rPr>
      <w:rFonts w:ascii="Times New Roman" w:eastAsia="Times New Roman" w:hAnsi="Times New Roman" w:cs="Times New Roman"/>
      <w:sz w:val="24"/>
      <w:szCs w:val="24"/>
    </w:rPr>
  </w:style>
  <w:style w:type="character" w:customStyle="1" w:styleId="ListLabel13">
    <w:name w:val="ListLabel 13"/>
    <w:qFormat/>
    <w:rPr>
      <w:rFonts w:cs="Wingdings"/>
      <w:sz w:val="24"/>
      <w:u w:val="none"/>
    </w:rPr>
  </w:style>
  <w:style w:type="character" w:customStyle="1" w:styleId="ListLabel14">
    <w:name w:val="ListLabel 14"/>
    <w:qFormat/>
    <w:rPr>
      <w:rFonts w:cs="Wingdings 2"/>
      <w:u w:val="none"/>
    </w:rPr>
  </w:style>
  <w:style w:type="character" w:customStyle="1" w:styleId="ListLabel15">
    <w:name w:val="ListLabel 15"/>
    <w:qFormat/>
    <w:rPr>
      <w:rFonts w:cs="OpenSymbol"/>
      <w:u w:val="none"/>
    </w:rPr>
  </w:style>
  <w:style w:type="character" w:customStyle="1" w:styleId="ListLabel16">
    <w:name w:val="ListLabel 16"/>
    <w:qFormat/>
    <w:rPr>
      <w:rFonts w:cs="Wingdings"/>
      <w:u w:val="none"/>
    </w:rPr>
  </w:style>
  <w:style w:type="character" w:customStyle="1" w:styleId="ListLabel17">
    <w:name w:val="ListLabel 17"/>
    <w:qFormat/>
    <w:rPr>
      <w:rFonts w:cs="Wingdings 2"/>
      <w:u w:val="none"/>
    </w:rPr>
  </w:style>
  <w:style w:type="character" w:customStyle="1" w:styleId="ListLabel18">
    <w:name w:val="ListLabel 18"/>
    <w:qFormat/>
    <w:rPr>
      <w:rFonts w:cs="OpenSymbol"/>
      <w:u w:val="none"/>
    </w:rPr>
  </w:style>
  <w:style w:type="character" w:customStyle="1" w:styleId="ListLabel19">
    <w:name w:val="ListLabel 19"/>
    <w:qFormat/>
    <w:rPr>
      <w:rFonts w:cs="Wingdings"/>
      <w:u w:val="none"/>
    </w:rPr>
  </w:style>
  <w:style w:type="character" w:customStyle="1" w:styleId="ListLabel20">
    <w:name w:val="ListLabel 20"/>
    <w:qFormat/>
    <w:rPr>
      <w:rFonts w:cs="Wingdings 2"/>
      <w:u w:val="none"/>
    </w:rPr>
  </w:style>
  <w:style w:type="character" w:customStyle="1" w:styleId="ListLabel21">
    <w:name w:val="ListLabel 21"/>
    <w:qFormat/>
    <w:rPr>
      <w:rFonts w:cs="OpenSymbol"/>
      <w:u w:val="none"/>
    </w:rPr>
  </w:style>
  <w:style w:type="character" w:customStyle="1" w:styleId="ListLabel22">
    <w:name w:val="ListLabel 22"/>
    <w:qFormat/>
    <w:rPr>
      <w:rFonts w:ascii="Times New Roman" w:eastAsia="Times New Roman" w:hAnsi="Times New Roman" w:cs="Times New Roman"/>
      <w:b/>
      <w:bCs/>
      <w:color w:val="1155CC"/>
      <w:sz w:val="24"/>
      <w:szCs w:val="24"/>
    </w:rPr>
  </w:style>
  <w:style w:type="character" w:customStyle="1" w:styleId="ListLabel23">
    <w:name w:val="ListLabel 23"/>
    <w:qFormat/>
    <w:rPr>
      <w:rFonts w:ascii="Times New Roman" w:eastAsia="Times New Roman" w:hAnsi="Times New Roman" w:cs="Times New Roman"/>
      <w:color w:val="1155CC"/>
      <w:sz w:val="24"/>
      <w:szCs w:val="24"/>
      <w:u w:val="single"/>
    </w:rPr>
  </w:style>
  <w:style w:type="character" w:customStyle="1" w:styleId="ListLabel24">
    <w:name w:val="ListLabel 24"/>
    <w:qFormat/>
    <w:rPr>
      <w:rFonts w:ascii="Times New Roman" w:eastAsia="Times New Roman" w:hAnsi="Times New Roman" w:cs="Times New Roman"/>
      <w:sz w:val="24"/>
      <w:szCs w:val="24"/>
    </w:rPr>
  </w:style>
  <w:style w:type="paragraph" w:customStyle="1" w:styleId="Heading">
    <w:name w:val="Heading"/>
    <w:basedOn w:val="Normal"/>
    <w:next w:val="BodyText"/>
    <w:qFormat/>
    <w:pPr>
      <w:keepNext/>
      <w:spacing w:before="240" w:after="120"/>
    </w:pPr>
    <w:rPr>
      <w:rFonts w:eastAsia="Microsoft YaHei"/>
      <w:sz w:val="28"/>
      <w:szCs w:val="28"/>
    </w:rPr>
  </w:style>
  <w:style w:type="paragraph" w:styleId="BodyText">
    <w:name w:val="Body Text"/>
    <w:basedOn w:val="Normal"/>
    <w:pPr>
      <w:spacing w:after="140"/>
    </w:pPr>
  </w:style>
  <w:style w:type="paragraph" w:styleId="List">
    <w:name w:val="List"/>
    <w:basedOn w:val="BodyText"/>
  </w:style>
  <w:style w:type="paragraph" w:styleId="Caption">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styleId="Subtitle">
    <w:name w:val="Subtitle"/>
    <w:basedOn w:val="Normal"/>
    <w:next w:val="Normal"/>
    <w:uiPriority w:val="11"/>
    <w:qFormat/>
    <w:pPr>
      <w:keepNext/>
      <w:keepLines/>
      <w:spacing w:after="320"/>
    </w:pPr>
    <w:rPr>
      <w:color w:val="666666"/>
      <w:sz w:val="30"/>
      <w:szCs w:val="30"/>
    </w:rPr>
  </w:style>
  <w:style w:type="paragraph" w:styleId="Title">
    <w:name w:val="Title"/>
    <w:basedOn w:val="Normal"/>
    <w:next w:val="Normal"/>
    <w:uiPriority w:val="10"/>
    <w:qFormat/>
    <w:pPr>
      <w:keepNext/>
      <w:keepLines/>
      <w:spacing w:after="60"/>
    </w:pPr>
    <w:rPr>
      <w:sz w:val="52"/>
      <w:szCs w:val="52"/>
    </w:rPr>
  </w:style>
  <w:style w:type="table" w:customStyle="1" w:styleId="TableNormal0">
    <w:name w:val="TableNormal"/>
    <w:qFormat/>
    <w:tblPr>
      <w:tblCellMar>
        <w:top w:w="100" w:type="dxa"/>
        <w:left w:w="100" w:type="dxa"/>
        <w:bottom w:w="100" w:type="dxa"/>
        <w:right w:w="100" w:type="dxa"/>
      </w:tblCellMar>
    </w:tblPr>
  </w:style>
  <w:style w:type="paragraph" w:styleId="PlainText">
    <w:name w:val="Plain Text"/>
    <w:basedOn w:val="Normal"/>
    <w:link w:val="PlainTextChar"/>
    <w:uiPriority w:val="99"/>
    <w:semiHidden/>
    <w:unhideWhenUsed/>
    <w:rsid w:val="00A80A51"/>
    <w:pPr>
      <w:spacing w:line="240" w:lineRule="auto"/>
    </w:pPr>
    <w:rPr>
      <w:rFonts w:ascii="Calibri" w:eastAsia="Times New Roman" w:hAnsi="Calibri" w:cstheme="minorBidi"/>
      <w:kern w:val="2"/>
      <w:szCs w:val="21"/>
      <w:lang w:val="en-US" w:eastAsia="en-US"/>
      <w14:ligatures w14:val="standardContextual"/>
    </w:rPr>
  </w:style>
  <w:style w:type="character" w:customStyle="1" w:styleId="PlainTextChar">
    <w:name w:val="Plain Text Char"/>
    <w:basedOn w:val="DefaultParagraphFont"/>
    <w:link w:val="PlainText"/>
    <w:uiPriority w:val="99"/>
    <w:semiHidden/>
    <w:rsid w:val="00A80A51"/>
    <w:rPr>
      <w:rFonts w:ascii="Calibri" w:eastAsia="Times New Roman" w:hAnsi="Calibri" w:cstheme="minorBidi"/>
      <w:kern w:val="2"/>
      <w:sz w:val="22"/>
      <w:szCs w:val="21"/>
      <w:lang w:eastAsia="en-US" w:bidi="ar-SA"/>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lundfinancialmanagement.com/" TargetMode="External"/><Relationship Id="rId3" Type="http://schemas.openxmlformats.org/officeDocument/2006/relationships/settings" Target="settings.xml"/><Relationship Id="rId7" Type="http://schemas.openxmlformats.org/officeDocument/2006/relationships/hyperlink" Target="https://lundfinancialmanagemen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undfinancialmanagement.com/" TargetMode="External"/><Relationship Id="rId5" Type="http://schemas.openxmlformats.org/officeDocument/2006/relationships/hyperlink" Target="https://lundfinancialmanagement.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634</Words>
  <Characters>4147</Characters>
  <Application>Microsoft Office Word</Application>
  <DocSecurity>0</DocSecurity>
  <Lines>71</Lines>
  <Paragraphs>24</Paragraphs>
  <ScaleCrop>false</ScaleCrop>
  <Company/>
  <LinksUpToDate>false</LinksUpToDate>
  <CharactersWithSpaces>4760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dc:description/>
  <cp:lastModifiedBy>Jason Lund</cp:lastModifiedBy>
  <cp:revision>2</cp:revision>
  <dcterms:created xsi:type="dcterms:W3CDTF">2026-02-16T20:43:00Z</dcterms:created>
  <dcterms:modified xsi:type="dcterms:W3CDTF">2026-02-16T20:43:00Z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GrammarlyDocumentId">
    <vt:lpwstr>ccb0d302-aa5c-4bcc-8a54-e0202efc2a99</vt:lpwstr>
  </property>
  <property fmtid="{D5CDD505-2E9C-101B-9397-08002B2CF9AE}" pid="4" name="ICV">
    <vt:lpwstr>85AF224C590042C687FA6A80A0ED30BF_13</vt:lpwstr>
  </property>
  <property fmtid="{D5CDD505-2E9C-101B-9397-08002B2CF9AE}" pid="5" name="KSOProductBuildVer">
    <vt:lpwstr>1033-12.2.0.23155</vt:lpwstr>
  </property>
  <property fmtid="{D5CDD505-2E9C-101B-9397-08002B2CF9AE}" pid="6" name="LinksUpToDate">
    <vt:bool>false</vt:bool>
  </property>
  <property fmtid="{D5CDD505-2E9C-101B-9397-08002B2CF9AE}" pid="7" name="ScaleCrop">
    <vt:bool>false</vt:bool>
  </property>
</Properties>
</file>